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24"/>
          <w:rFonts w:eastAsiaTheme="minorEastAsia"/>
          <w:b w:val="0"/>
          <w:bCs w:val="0"/>
          <w:color w:val="auto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24"/>
          <w:rFonts w:eastAsiaTheme="minorEastAsia"/>
          <w:b w:val="0"/>
          <w:bCs w:val="0"/>
          <w:color w:val="auto"/>
        </w:rPr>
        <w:t>Приложение № 1</w:t>
      </w:r>
    </w:p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24"/>
          <w:rFonts w:eastAsiaTheme="minorEastAsia"/>
          <w:b w:val="0"/>
          <w:bCs w:val="0"/>
          <w:color w:val="auto"/>
        </w:rPr>
      </w:pPr>
      <w:r>
        <w:rPr>
          <w:rStyle w:val="24"/>
          <w:rFonts w:eastAsiaTheme="minorEastAsia"/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</w:t>
      </w:r>
    </w:p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24"/>
          <w:rFonts w:eastAsiaTheme="minorEastAsia"/>
          <w:b w:val="0"/>
          <w:bCs w:val="0"/>
          <w:color w:val="auto"/>
        </w:rPr>
      </w:pPr>
      <w:r>
        <w:rPr>
          <w:rStyle w:val="24"/>
          <w:rFonts w:eastAsiaTheme="minorEastAsia"/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24"/>
          <w:rFonts w:eastAsiaTheme="minorEastAsia"/>
          <w:b w:val="0"/>
          <w:bCs w:val="0"/>
          <w:color w:val="auto"/>
        </w:rPr>
      </w:pPr>
      <w:r>
        <w:t xml:space="preserve">                                            </w:t>
      </w:r>
    </w:p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jc w:val="right"/>
        <w:textAlignment w:val="auto"/>
      </w:pPr>
    </w:p>
    <w:p>
      <w:pPr>
        <w:pStyle w:val="34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</w:pPr>
      <w: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before="0" w:line="240" w:lineRule="auto"/>
        <w:jc w:val="center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РАБОЧИЙ ПЛАН 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>СЧЕТОВ БЮДЖЕТНОГО УЧЕТА</w:t>
      </w: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outlineLvl w:val="2"/>
        <w:rPr>
          <w:rFonts w:ascii="Times New Roman" w:hAnsi="Times New Roman" w:cs="Times New Roman"/>
        </w:rPr>
      </w:pP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БАЛАНСОВЫЕ СЧЕТА</w:t>
      </w: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</w:pPr>
    </w:p>
    <w:tbl>
      <w:tblPr>
        <w:tblStyle w:val="14"/>
        <w:tblW w:w="14469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2381"/>
        <w:gridCol w:w="1757"/>
        <w:gridCol w:w="1017"/>
        <w:gridCol w:w="973"/>
        <w:gridCol w:w="789"/>
        <w:gridCol w:w="1941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15" w:type="dxa"/>
            <w:vMerge w:val="restart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счета</w:t>
            </w:r>
          </w:p>
        </w:tc>
        <w:tc>
          <w:tcPr>
            <w:tcW w:w="10954" w:type="dxa"/>
            <w:gridSpan w:val="7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4" w:type="dxa"/>
            <w:gridSpan w:val="7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аналитический классификационный</w:t>
            </w:r>
          </w:p>
        </w:tc>
        <w:tc>
          <w:tcPr>
            <w:tcW w:w="1757" w:type="dxa"/>
            <w:vMerge w:val="restart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синтетического счета</w:t>
            </w:r>
          </w:p>
        </w:tc>
        <w:tc>
          <w:tcPr>
            <w:tcW w:w="1941" w:type="dxa"/>
            <w:vMerge w:val="restart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аналитический </w:t>
            </w: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vMerge w:val="restart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детализация аналитического учета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 учета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</w:tc>
        <w:tc>
          <w:tcPr>
            <w:tcW w:w="194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1 - 17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19 - 21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24 - 26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НЕФИНАНСОВЫЕ АКТИВЫ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Нежилые помещения - недвижимое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Учетной политики для целей бухгалтерского учета (далее - УП БУ)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 - недвижимое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Земля - недвижимое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сооружений - недвижимого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сооружений - иного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основные средства - недвижимое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1 0 7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средства - иное движимое имущество учреждения в пути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1 0 7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1 0 7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Себестоимость готовой продукции, работ,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ФИНАНСОВЫЕ АКТИВЫ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средства учреждения в кредитной организации в пути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документы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доходам от оказания платных работ,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2 0 5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оплате труда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прочим выплатам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оплате прочих расходов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заработной плате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прочим выплатам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коммунальных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прочих расходов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суммам принудительного изъятия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ущербу непроизведенным активам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иным доходам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2 0 9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2 1 0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2 1 0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учредителем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2 1 0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НДС по авансам полученным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2 1 0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2 1 0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"P4415"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2.5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Учетной политики для целей налогообложения (далее - УП 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прочим выплатам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"P481"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"P475"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7.1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3 0 3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депонентами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прочими кредиторами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"P4421"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2.6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НО, </w:t>
            </w: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будущих периодов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4 0 1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color="auto" w:sz="4" w:space="0"/>
            </w:tcBorders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Принятые обязательства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Принятые денежные обязательства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5 0 2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Сметные (плановые, прогнозные) назначения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5 0 4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5 0 6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Утвержденный объем финансового обеспечения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5 0 7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Получено финансового обеспечения</w:t>
            </w:r>
          </w:p>
        </w:tc>
        <w:tc>
          <w:tcPr>
            <w:tcW w:w="238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"P109"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175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5 0 8</w:t>
            </w:r>
          </w:p>
        </w:tc>
        <w:tc>
          <w:tcPr>
            <w:tcW w:w="973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fldChar w:fldCharType="begin"/>
            </w:r>
            <w:r>
              <w:instrText xml:space="preserve"> HYPERLINK \l "P535"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 БУ</w:t>
            </w:r>
          </w:p>
        </w:tc>
        <w:tc>
          <w:tcPr>
            <w:tcW w:w="2096" w:type="dxa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"consultantplus://offline/ref=9E45BB58C3D875EC29F08CF256C6A11031A6745361C481B9B81F5BB68A5B47315E4466CF529DC59AI5y1H"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sectPr>
          <w:headerReference r:id="rId3" w:type="default"/>
          <w:footerReference r:id="rId4" w:type="default"/>
          <w:pgSz w:w="16838" w:h="11905" w:orient="landscape"/>
          <w:pgMar w:top="142" w:right="1134" w:bottom="850" w:left="1134" w:header="0" w:footer="0" w:gutter="0"/>
          <w:pgNumType w:fmt="decimal" w:start="28"/>
          <w:cols w:space="720" w:num="1"/>
        </w:sectPr>
      </w:pP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</w:pP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outlineLvl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ЗАБАЛАНСОВЫЕ СЧЕТА</w:t>
      </w:r>
    </w:p>
    <w:p>
      <w:pPr>
        <w:pStyle w:val="22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</w:rPr>
      </w:pPr>
    </w:p>
    <w:tbl>
      <w:tblPr>
        <w:tblStyle w:val="14"/>
        <w:tblW w:w="968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18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Наименование счета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Номер счета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Дополнительная детализация учета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Имущество, полученное в пользование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01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Материальные ценности, принятые на хранение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02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Согласно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"P564"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п. 10.2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03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Согласно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"P575"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п. 10.4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Задолженность неплатежеспособных дебиторов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04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Согласно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"P588"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п. 10.7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06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Награды, призы, кубки и ценные подарки, сувениры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07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Путевки неоплаченные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08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09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Поступления денежных средств на счета учреждения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"consultantplus://offline/ref=9E45BB58C3D875EC29F08CF256C6A11031A6745361C481B9B81F5BB68A5B47315E4466CF529DC59AI5y1H"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КОСГУ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Выбытия денежных средств со счетов учреждения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"consultantplus://offline/ref=9E45BB58C3D875EC29F08CF256C6A11031A6745361C481B9B81F5BB68A5B47315E4466CF529DC59AI5y1H"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КОСГУ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Задолженность, невостребованная кредиторами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Согласно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"P602"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п. 10.10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Основные средства стоимостью до </w:t>
            </w:r>
            <w:r>
              <w:rPr>
                <w:rFonts w:hint="default" w:ascii="Times New Roman" w:hAnsi="Times New Roman" w:cs="Times New Roman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</w:rPr>
              <w:t>000 рублей включительно в эксплуатации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Согласно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"P608"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п. 10.11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УП БУ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Имущество, переданное в возмездное пользование (аренду)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Материалы, переданные на давальческой основе</w:t>
            </w:r>
          </w:p>
        </w:tc>
        <w:tc>
          <w:tcPr>
            <w:tcW w:w="1860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6"/>
        <w:pageBreakBefore w:val="0"/>
        <w:kinsoku/>
        <w:wordWrap/>
        <w:overflowPunct/>
        <w:topLinePunct w:val="0"/>
        <w:bidi w:val="0"/>
        <w:snapToGrid/>
        <w:spacing w:line="240" w:lineRule="auto"/>
        <w:ind w:left="139"/>
        <w:textAlignment w:val="auto"/>
        <w:rPr>
          <w:rFonts w:hint="default" w:ascii="Times New Roman" w:hAnsi="Times New Roman" w:cs="Times New Roman"/>
          <w:color w:val="auto"/>
          <w:sz w:val="16"/>
          <w:szCs w:val="16"/>
        </w:rPr>
      </w:pPr>
    </w:p>
    <w:sectPr>
      <w:pgSz w:w="16838" w:h="11906" w:orient="landscape"/>
      <w:pgMar w:top="568" w:right="1134" w:bottom="851" w:left="1134" w:header="709" w:footer="709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D"/>
    <w:rsid w:val="000379CE"/>
    <w:rsid w:val="00322E2E"/>
    <w:rsid w:val="00403C00"/>
    <w:rsid w:val="005A72FD"/>
    <w:rsid w:val="006710F8"/>
    <w:rsid w:val="0072283C"/>
    <w:rsid w:val="00724E7D"/>
    <w:rsid w:val="009D4F62"/>
    <w:rsid w:val="00A85FB6"/>
    <w:rsid w:val="00A90E25"/>
    <w:rsid w:val="00AF3340"/>
    <w:rsid w:val="00C11A49"/>
    <w:rsid w:val="00CF533D"/>
    <w:rsid w:val="00EA3369"/>
    <w:rsid w:val="00F03A9E"/>
    <w:rsid w:val="01782EBF"/>
    <w:rsid w:val="1A262217"/>
    <w:rsid w:val="266C10D6"/>
    <w:rsid w:val="2FD47D9C"/>
    <w:rsid w:val="3BCE7494"/>
    <w:rsid w:val="48C542A3"/>
    <w:rsid w:val="48FF6ABB"/>
    <w:rsid w:val="49026149"/>
    <w:rsid w:val="53A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2"/>
    <w:next w:val="1"/>
    <w:link w:val="16"/>
    <w:qFormat/>
    <w:uiPriority w:val="9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 w:eastAsiaTheme="minorEastAsia"/>
      <w:b w:val="0"/>
      <w:bCs w:val="0"/>
      <w:color w:val="auto"/>
      <w:sz w:val="24"/>
      <w:szCs w:val="24"/>
      <w:lang w:eastAsia="ru-RU"/>
    </w:rPr>
  </w:style>
  <w:style w:type="paragraph" w:styleId="4">
    <w:name w:val="heading 3"/>
    <w:basedOn w:val="3"/>
    <w:next w:val="1"/>
    <w:link w:val="17"/>
    <w:qFormat/>
    <w:uiPriority w:val="99"/>
    <w:pPr>
      <w:outlineLvl w:val="2"/>
    </w:pPr>
  </w:style>
  <w:style w:type="paragraph" w:styleId="5">
    <w:name w:val="heading 4"/>
    <w:basedOn w:val="1"/>
    <w:next w:val="1"/>
    <w:link w:val="18"/>
    <w:qFormat/>
    <w:uiPriority w:val="9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2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ru-RU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Strong"/>
    <w:basedOn w:val="11"/>
    <w:qFormat/>
    <w:uiPriority w:val="22"/>
    <w:rPr>
      <w:b/>
      <w:bCs/>
    </w:rPr>
  </w:style>
  <w:style w:type="character" w:customStyle="1" w:styleId="15">
    <w:name w:val="Заголовок 1 Знак"/>
    <w:basedOn w:val="11"/>
    <w:link w:val="2"/>
    <w:qFormat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Заголовок 2 Знак"/>
    <w:basedOn w:val="11"/>
    <w:link w:val="3"/>
    <w:qFormat/>
    <w:uiPriority w:val="9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17">
    <w:name w:val="Заголовок 3 Знак"/>
    <w:basedOn w:val="11"/>
    <w:link w:val="4"/>
    <w:qFormat/>
    <w:uiPriority w:val="9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18">
    <w:name w:val="Заголовок 4 Знак"/>
    <w:basedOn w:val="11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9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Текст примечания Знак"/>
    <w:basedOn w:val="11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en-US" w:bidi="ar-SA"/>
    </w:rPr>
  </w:style>
  <w:style w:type="character" w:customStyle="1" w:styleId="23">
    <w:name w:val="Текст выноски Знак"/>
    <w:basedOn w:val="11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Цветовое выделение"/>
    <w:qFormat/>
    <w:uiPriority w:val="99"/>
    <w:rPr>
      <w:b/>
      <w:bCs/>
      <w:color w:val="000080"/>
    </w:rPr>
  </w:style>
  <w:style w:type="character" w:customStyle="1" w:styleId="25">
    <w:name w:val="Гипертекстовая ссылка"/>
    <w:basedOn w:val="24"/>
    <w:qFormat/>
    <w:uiPriority w:val="99"/>
    <w:rPr>
      <w:color w:val="008000"/>
    </w:rPr>
  </w:style>
  <w:style w:type="paragraph" w:customStyle="1" w:styleId="26">
    <w:name w:val="Комментарий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 w:eastAsiaTheme="minorEastAsia"/>
      <w:i/>
      <w:iCs/>
      <w:color w:val="800080"/>
      <w:sz w:val="24"/>
      <w:szCs w:val="24"/>
      <w:lang w:eastAsia="ru-RU"/>
    </w:rPr>
  </w:style>
  <w:style w:type="paragraph" w:customStyle="1" w:styleId="27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customStyle="1" w:styleId="28">
    <w:name w:val="s_5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_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s_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s_10"/>
    <w:basedOn w:val="11"/>
    <w:qFormat/>
    <w:uiPriority w:val="0"/>
  </w:style>
  <w:style w:type="paragraph" w:customStyle="1" w:styleId="33">
    <w:name w:val="s_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3062</Words>
  <Characters>17457</Characters>
  <Lines>145</Lines>
  <Paragraphs>40</Paragraphs>
  <TotalTime>2</TotalTime>
  <ScaleCrop>false</ScaleCrop>
  <LinksUpToDate>false</LinksUpToDate>
  <CharactersWithSpaces>20479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2017-05-11T06:53:00Z</dcterms:created>
  <dc:creator>юзер</dc:creator>
  <cp:lastModifiedBy>Admin</cp:lastModifiedBy>
  <cp:lastPrinted>2016-06-27T12:02:00Z</cp:lastPrinted>
  <dcterms:modified xsi:type="dcterms:W3CDTF">2019-03-06T05:30:06Z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