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rStyle w:val="9"/>
          <w:rFonts w:eastAsiaTheme="minorEastAsia"/>
          <w:b w:val="0"/>
          <w:bCs/>
          <w:color w:val="auto"/>
          <w:sz w:val="22"/>
          <w:szCs w:val="22"/>
        </w:rPr>
      </w:pPr>
      <w:r>
        <w:rPr>
          <w:rStyle w:val="9"/>
          <w:rFonts w:eastAsiaTheme="minorEastAsia"/>
          <w:b w:val="0"/>
          <w:bCs/>
          <w:color w:val="auto"/>
          <w:sz w:val="22"/>
          <w:szCs w:val="22"/>
        </w:rPr>
        <w:t>Приложение № 1</w:t>
      </w:r>
      <w:r>
        <w:rPr>
          <w:rStyle w:val="9"/>
          <w:rFonts w:eastAsiaTheme="minorEastAsia"/>
          <w:b w:val="0"/>
          <w:bCs/>
          <w:color w:val="auto"/>
          <w:sz w:val="22"/>
          <w:szCs w:val="22"/>
          <w:lang w:val="ru-RU"/>
        </w:rPr>
        <w:t>0</w:t>
      </w:r>
      <w:r>
        <w:rPr>
          <w:rStyle w:val="9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jc w:val="center"/>
        <w:rPr>
          <w:rFonts w:ascii="Times New Roman" w:hAnsi="Times New Roman" w:cs="Times New Roman"/>
          <w:b/>
        </w:rPr>
      </w:pPr>
      <w:bookmarkStart w:id="0" w:name="P4164"/>
      <w:bookmarkEnd w:id="0"/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формирования и использования резервов предстоящих расходов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Общие положения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Порядок устанавливает правила отражения в бухгалтерском учете </w:t>
      </w:r>
      <w:r>
        <w:rPr>
          <w:rFonts w:ascii="Times New Roman" w:hAnsi="Times New Roman" w:cs="Times New Roman"/>
          <w:lang w:val="ru-RU"/>
        </w:rPr>
        <w:t>муниципального бюджетного 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 xml:space="preserve">«Стадион «Горняк» (далее - Учреждение) </w:t>
      </w:r>
      <w:r>
        <w:rPr>
          <w:rFonts w:ascii="Times New Roman" w:hAnsi="Times New Roman" w:cs="Times New Roman"/>
        </w:rPr>
        <w:t xml:space="preserve">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по обязательствам, не определенным по величине и (или) времени исполнения, в соответствии с положениями </w:t>
      </w:r>
      <w:r>
        <w:fldChar w:fldCharType="begin"/>
      </w:r>
      <w:r>
        <w:instrText xml:space="preserve"> HYPERLINK "consultantplus://offline/ref=9E45BB58C3D875EC29F08CF256C6A11031A67A506FC781B9B81F5BB68A5B47315E4466CF5398C591I5y4H" </w:instrText>
      </w:r>
      <w:r>
        <w:fldChar w:fldCharType="separate"/>
      </w:r>
      <w:r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№ 157н.</w:t>
      </w: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Виды формируемых резервов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 xml:space="preserve">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(далее - Резерв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).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Оценка обязательства и формирование резерва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Оценка обязательств осуществляется работником бухгалтерии на основании сведений</w:t>
      </w:r>
      <w:r>
        <w:rPr>
          <w:rFonts w:ascii="Times New Roman" w:hAnsi="Times New Roman" w:cs="Times New Roman"/>
          <w:lang w:val="ru-RU"/>
        </w:rPr>
        <w:t>, представленных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специалистом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</w:rPr>
        <w:t>кадр</w:t>
      </w:r>
      <w:r>
        <w:rPr>
          <w:rFonts w:ascii="Times New Roman" w:hAnsi="Times New Roman" w:cs="Times New Roman"/>
          <w:lang w:val="ru-RU"/>
        </w:rPr>
        <w:t>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Учреждения </w:t>
      </w:r>
      <w:r>
        <w:rPr>
          <w:rFonts w:ascii="Times New Roman" w:hAnsi="Times New Roman" w:cs="Times New Roman"/>
        </w:rPr>
        <w:t xml:space="preserve">о количестве полагающихся дней отпуска в следующем году по каждому работнику. Сведения предоставляются за подписью </w:t>
      </w:r>
      <w:r>
        <w:rPr>
          <w:rFonts w:ascii="Times New Roman" w:hAnsi="Times New Roman" w:cs="Times New Roman"/>
          <w:lang w:val="ru-RU"/>
        </w:rPr>
        <w:t>специалист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</w:rPr>
        <w:t>кадр</w:t>
      </w:r>
      <w:r>
        <w:rPr>
          <w:rFonts w:ascii="Times New Roman" w:hAnsi="Times New Roman" w:cs="Times New Roman"/>
          <w:lang w:val="ru-RU"/>
        </w:rPr>
        <w:t>ам</w:t>
      </w:r>
      <w:r>
        <w:rPr>
          <w:rFonts w:ascii="Times New Roman" w:hAnsi="Times New Roman" w:cs="Times New Roman"/>
        </w:rPr>
        <w:t xml:space="preserve"> до 20 декабря </w:t>
      </w:r>
      <w:r>
        <w:rPr>
          <w:rFonts w:ascii="Times New Roman" w:hAnsi="Times New Roman" w:cs="Times New Roman"/>
          <w:lang w:val="ru-RU"/>
        </w:rPr>
        <w:t xml:space="preserve">текущего </w:t>
      </w:r>
      <w:r>
        <w:rPr>
          <w:rFonts w:ascii="Times New Roman" w:hAnsi="Times New Roman" w:cs="Times New Roman"/>
        </w:rPr>
        <w:t xml:space="preserve">года. Форма сведений приведена в </w:t>
      </w:r>
      <w:r>
        <w:fldChar w:fldCharType="begin"/>
      </w:r>
      <w:r>
        <w:instrText xml:space="preserve"> HYPERLINK \l "P4212" </w:instrText>
      </w:r>
      <w:r>
        <w:fldChar w:fldCharType="separate"/>
      </w:r>
      <w:r>
        <w:rPr>
          <w:rFonts w:ascii="Times New Roman" w:hAnsi="Times New Roman" w:cs="Times New Roman"/>
        </w:rPr>
        <w:t>Приложении № 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к настоящему Порядку.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обязательств осуществляется отдельно: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заработной плате для оплаты отпусков и компенсаций за неиспользованный отпуск;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сумме страховых взносов.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оценки обязательства по заработной плате производится по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>чреждению в целом по формуле: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ООЗП = К x ЗПср,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ООЗП - оценка обязательств по заработной плате;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- планируемое количество дней отпуска работников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в соответствующем году согласно сведениям </w:t>
      </w:r>
      <w:r>
        <w:rPr>
          <w:rFonts w:ascii="Times New Roman" w:hAnsi="Times New Roman" w:cs="Times New Roman"/>
          <w:lang w:val="ru-RU"/>
        </w:rPr>
        <w:t>специалист</w:t>
      </w:r>
      <w:r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  <w:lang w:val="ru-RU"/>
        </w:rPr>
        <w:t xml:space="preserve">по </w:t>
      </w:r>
      <w:r>
        <w:rPr>
          <w:rFonts w:ascii="Times New Roman" w:hAnsi="Times New Roman" w:cs="Times New Roman"/>
        </w:rPr>
        <w:t>кадр</w:t>
      </w:r>
      <w:r>
        <w:rPr>
          <w:rFonts w:ascii="Times New Roman" w:hAnsi="Times New Roman" w:cs="Times New Roman"/>
          <w:lang w:val="ru-RU"/>
        </w:rPr>
        <w:t>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;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ЗПср - средняя заработная плата по всем сотрудникам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в целом.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обязательств по сумме страховых взносов рассчитывается в среднем по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</w:rPr>
        <w:t>чреждению по формуле: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ООСВ = ООЗП x С,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С - ставка страховых взносов.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Расчет оценки обязательств подписывается исполнителем и главным бухгалтером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Сумма резерва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формируется ежемесячно из расчета 1/12 величины оценки обязательства (с учетом суммы платежей на обязательное социальное страхование).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Использование и учет сумм резервов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Резерв используется только на покрытие тех расходов, в отношении которых он был создан.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Признание в учете расходов, в отношении которых сформирован резерв, осуществляется за счет суммы созданного резерва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>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Операция по формированию резерва </w:t>
      </w:r>
      <w:r>
        <w:rPr>
          <w:rFonts w:ascii="Times New Roman" w:hAnsi="Times New Roman" w:cs="Times New Roman"/>
          <w:lang w:val="ru-RU"/>
        </w:rPr>
        <w:t>Учреждения</w:t>
      </w:r>
      <w:r>
        <w:rPr>
          <w:rFonts w:ascii="Times New Roman" w:hAnsi="Times New Roman" w:cs="Times New Roman"/>
        </w:rPr>
        <w:t xml:space="preserve"> отражается в бухгалтерском учете в первый рабочий день месяца, на который формируется резерв, в соответствии с положениями Инструкций </w:t>
      </w:r>
      <w:r>
        <w:fldChar w:fldCharType="begin"/>
      </w:r>
      <w:r>
        <w:instrText xml:space="preserve"> HYPERLINK "consultantplus://offline/ref=9E45BB58C3D875EC29F08CF256C6A11031A67A506FC781B9B81F5BB68A5B47315E4466CF5398C591I5y4H" </w:instrText>
      </w:r>
      <w:r>
        <w:fldChar w:fldCharType="separate"/>
      </w:r>
      <w:r>
        <w:rPr>
          <w:rFonts w:ascii="Times New Roman" w:hAnsi="Times New Roman" w:cs="Times New Roman"/>
        </w:rPr>
        <w:t xml:space="preserve"> № 157н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 № </w:t>
      </w:r>
      <w:r>
        <w:fldChar w:fldCharType="begin"/>
      </w:r>
      <w:r>
        <w:instrText xml:space="preserve"> HYPERLINK "consultantplus://offline/ref=9E45BB58C3D875EC29F08CF256C6A11031A67A5261C481B9B81F5BB68A5B47315E4466CF5398C191I5y7H" </w:instrText>
      </w:r>
      <w:r>
        <w:fldChar w:fldCharType="separate"/>
      </w:r>
      <w:r>
        <w:rPr>
          <w:rFonts w:ascii="Times New Roman" w:hAnsi="Times New Roman" w:cs="Times New Roman"/>
        </w:rPr>
        <w:t>174н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6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При недостаточности сумм резерва осуществляется его изменение (уточнение).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outlineLvl w:val="2"/>
        <w:rPr>
          <w:rFonts w:ascii="Times New Roman" w:hAnsi="Times New Roman" w:cs="Times New Roman"/>
        </w:rPr>
      </w:pPr>
      <w:bookmarkStart w:id="2" w:name="_GoBack"/>
      <w:bookmarkEnd w:id="2"/>
    </w:p>
    <w:p>
      <w:pPr>
        <w:pStyle w:val="6"/>
        <w:jc w:val="right"/>
        <w:outlineLvl w:val="2"/>
        <w:rPr>
          <w:rFonts w:ascii="Times New Roman" w:hAnsi="Times New Roman" w:cs="Times New Roman"/>
        </w:rPr>
      </w:pPr>
    </w:p>
    <w:p>
      <w:pPr>
        <w:pStyle w:val="6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>
      <w:pPr>
        <w:pStyle w:val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использования</w:t>
      </w:r>
    </w:p>
    <w:p>
      <w:pPr>
        <w:pStyle w:val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резервов предстоящих расходов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  <w:bookmarkStart w:id="1" w:name="P4212"/>
      <w:bookmarkEnd w:id="1"/>
      <w:r>
        <w:rPr>
          <w:rFonts w:ascii="Times New Roman" w:hAnsi="Times New Roman" w:cs="Times New Roman"/>
        </w:rPr>
        <w:t>Сведения о планируемых отпусках</w:t>
      </w: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 «Стадион «Горняк»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20__ г.</w:t>
      </w:r>
    </w:p>
    <w:p>
      <w:pPr>
        <w:pStyle w:val="6"/>
        <w:jc w:val="both"/>
        <w:rPr>
          <w:rFonts w:ascii="Times New Roman" w:hAnsi="Times New Roman" w:cs="Times New Roman"/>
        </w:rPr>
      </w:pPr>
    </w:p>
    <w:tbl>
      <w:tblPr>
        <w:tblStyle w:val="5"/>
        <w:tblW w:w="907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474"/>
        <w:gridCol w:w="1361"/>
        <w:gridCol w:w="907"/>
        <w:gridCol w:w="187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4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4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работника</w:t>
            </w:r>
          </w:p>
        </w:tc>
        <w:tc>
          <w:tcPr>
            <w:tcW w:w="1361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13" w:type="dxa"/>
            <w:gridSpan w:val="3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отпуска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continue"/>
          </w:tcPr>
          <w:p/>
        </w:tc>
        <w:tc>
          <w:tcPr>
            <w:tcW w:w="1474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06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continue"/>
          </w:tcPr>
          <w:p/>
        </w:tc>
        <w:tc>
          <w:tcPr>
            <w:tcW w:w="1474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187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планируемый год</w:t>
            </w:r>
          </w:p>
        </w:tc>
        <w:tc>
          <w:tcPr>
            <w:tcW w:w="2835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использованного за текущий и прошлые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Специалист по кадрам</w:t>
      </w:r>
      <w:r>
        <w:rPr>
          <w:rFonts w:ascii="Times New Roman" w:hAnsi="Times New Roman" w:cs="Times New Roman"/>
        </w:rPr>
        <w:t xml:space="preserve"> ________________________ (____________________)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расшифровка подписи</w:t>
      </w:r>
    </w:p>
    <w:p>
      <w:pPr>
        <w:pStyle w:val="7"/>
        <w:jc w:val="both"/>
        <w:rPr>
          <w:rFonts w:ascii="Times New Roman" w:hAnsi="Times New Roman" w:cs="Times New Roman"/>
        </w:rPr>
      </w:pPr>
    </w:p>
    <w:p>
      <w:pPr>
        <w:pStyle w:val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«___» _____________ 20__ г.</w:t>
      </w: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ascii="Times New Roman" w:hAnsi="Times New Roman" w:cs="Times New Roman"/>
        </w:rPr>
      </w:pPr>
    </w:p>
    <w:p>
      <w:pPr>
        <w:pStyle w:val="6"/>
        <w:jc w:val="both"/>
        <w:rPr>
          <w:rFonts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568" w:right="850" w:bottom="670" w:left="1701" w:header="708" w:footer="708" w:gutter="0"/>
      <w:pgNumType w:fmt="decimal" w:start="7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6"/>
    <w:rsid w:val="000A714D"/>
    <w:rsid w:val="00226D03"/>
    <w:rsid w:val="005A72FD"/>
    <w:rsid w:val="0072283C"/>
    <w:rsid w:val="008B60D6"/>
    <w:rsid w:val="009B6049"/>
    <w:rsid w:val="00DC42D2"/>
    <w:rsid w:val="0C28434B"/>
    <w:rsid w:val="10611D90"/>
    <w:rsid w:val="29173C13"/>
    <w:rsid w:val="366350AA"/>
    <w:rsid w:val="487978A7"/>
    <w:rsid w:val="587B6EB6"/>
    <w:rsid w:val="76F55BB2"/>
    <w:rsid w:val="77F43794"/>
    <w:rsid w:val="7B9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7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9">
    <w:name w:val="Цветовое выделение"/>
    <w:qFormat/>
    <w:uiPriority w:val="99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731</Words>
  <Characters>4168</Characters>
  <Lines>34</Lines>
  <Paragraphs>9</Paragraphs>
  <TotalTime>2</TotalTime>
  <ScaleCrop>false</ScaleCrop>
  <LinksUpToDate>false</LinksUpToDate>
  <CharactersWithSpaces>4890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2017-04-27T08:52:00Z</dcterms:created>
  <dc:creator>юзер</dc:creator>
  <cp:lastModifiedBy>Admin</cp:lastModifiedBy>
  <cp:lastPrinted>2018-08-13T09:30:00Z</cp:lastPrinted>
  <dcterms:modified xsi:type="dcterms:W3CDTF">2019-03-06T06:01:56Z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